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8611" w14:textId="22F5744C" w:rsidR="004D5536" w:rsidRDefault="004D5536" w:rsidP="004D5536">
      <w:pPr>
        <w:widowControl w:val="0"/>
        <w:rPr>
          <w:rFonts w:ascii="Arial" w:hAnsi="Arial" w:cs="Arial"/>
          <w:b/>
          <w:bCs/>
          <w:sz w:val="22"/>
        </w:rPr>
      </w:pPr>
      <w:bookmarkStart w:id="0" w:name="_Hlk187051578"/>
      <w:r w:rsidRPr="004D5536">
        <w:rPr>
          <w:rFonts w:ascii="Arial" w:hAnsi="Arial" w:cs="Arial"/>
          <w:b/>
          <w:bCs/>
          <w:noProof/>
          <w:sz w:val="22"/>
        </w:rPr>
        <w:drawing>
          <wp:inline distT="0" distB="0" distL="0" distR="0" wp14:anchorId="26AD0C01" wp14:editId="455A7A9B">
            <wp:extent cx="2082800" cy="660400"/>
            <wp:effectExtent l="0" t="0" r="0" b="6350"/>
            <wp:docPr id="20802290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29058"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0806" cy="678792"/>
                    </a:xfrm>
                    <a:prstGeom prst="rect">
                      <a:avLst/>
                    </a:prstGeom>
                    <a:noFill/>
                    <a:ln>
                      <a:noFill/>
                    </a:ln>
                  </pic:spPr>
                </pic:pic>
              </a:graphicData>
            </a:graphic>
          </wp:inline>
        </w:drawing>
      </w:r>
    </w:p>
    <w:p w14:paraId="7CB052C2" w14:textId="77777777" w:rsidR="004D5536" w:rsidRDefault="004D5536" w:rsidP="004D5536">
      <w:pPr>
        <w:widowControl w:val="0"/>
        <w:rPr>
          <w:rFonts w:ascii="Arial" w:hAnsi="Arial" w:cs="Arial"/>
          <w:b/>
          <w:bCs/>
          <w:sz w:val="22"/>
        </w:rPr>
      </w:pPr>
    </w:p>
    <w:p w14:paraId="7A48829E" w14:textId="485EECD4" w:rsidR="004D5536" w:rsidRDefault="00EE217E" w:rsidP="004D5536">
      <w:pPr>
        <w:widowControl w:val="0"/>
        <w:rPr>
          <w:rFonts w:ascii="Arial" w:hAnsi="Arial" w:cs="Arial"/>
          <w:b/>
          <w:bCs/>
          <w:sz w:val="22"/>
        </w:rPr>
      </w:pPr>
      <w:bookmarkStart w:id="1" w:name="_Hlk187080529"/>
      <w:r w:rsidRPr="004D5536">
        <w:rPr>
          <w:rFonts w:ascii="Arial" w:hAnsi="Arial" w:cs="Arial"/>
          <w:b/>
          <w:bCs/>
          <w:sz w:val="22"/>
        </w:rPr>
        <w:t xml:space="preserve">DOE Issues </w:t>
      </w:r>
      <w:r w:rsidR="000D29CB" w:rsidRPr="004D5536">
        <w:rPr>
          <w:rFonts w:ascii="Arial" w:hAnsi="Arial" w:cs="Arial"/>
          <w:b/>
          <w:bCs/>
          <w:sz w:val="22"/>
        </w:rPr>
        <w:t>New</w:t>
      </w:r>
      <w:r w:rsidRPr="004D5536">
        <w:rPr>
          <w:rFonts w:ascii="Arial" w:hAnsi="Arial" w:cs="Arial"/>
          <w:b/>
          <w:bCs/>
          <w:sz w:val="22"/>
        </w:rPr>
        <w:t xml:space="preserve"> CRE Energy Efficiency Standards</w:t>
      </w:r>
    </w:p>
    <w:p w14:paraId="62442302" w14:textId="47D6109F" w:rsidR="001F46DE" w:rsidRPr="004D5536" w:rsidRDefault="00EE217E" w:rsidP="004D5536">
      <w:pPr>
        <w:widowControl w:val="0"/>
        <w:rPr>
          <w:rFonts w:ascii="Arial" w:hAnsi="Arial" w:cs="Arial"/>
          <w:b/>
          <w:bCs/>
          <w:sz w:val="22"/>
        </w:rPr>
      </w:pPr>
      <w:r w:rsidRPr="004D5536">
        <w:rPr>
          <w:rFonts w:ascii="Arial" w:hAnsi="Arial" w:cs="Arial"/>
          <w:b/>
          <w:bCs/>
          <w:sz w:val="22"/>
        </w:rPr>
        <w:t xml:space="preserve">One Additional Year for Compliance, But Many Areas </w:t>
      </w:r>
      <w:r w:rsidR="006C19D1" w:rsidRPr="004D5536">
        <w:rPr>
          <w:rFonts w:ascii="Arial" w:hAnsi="Arial" w:cs="Arial"/>
          <w:b/>
          <w:bCs/>
          <w:sz w:val="22"/>
        </w:rPr>
        <w:t xml:space="preserve">Remain </w:t>
      </w:r>
      <w:r w:rsidRPr="004D5536">
        <w:rPr>
          <w:rFonts w:ascii="Arial" w:hAnsi="Arial" w:cs="Arial"/>
          <w:b/>
          <w:bCs/>
          <w:sz w:val="22"/>
        </w:rPr>
        <w:t>Similar to Proposed Rule</w:t>
      </w:r>
    </w:p>
    <w:bookmarkEnd w:id="0"/>
    <w:p w14:paraId="645F95FB" w14:textId="77777777" w:rsidR="004D5536" w:rsidRDefault="004D5536" w:rsidP="004D5536">
      <w:pPr>
        <w:widowControl w:val="0"/>
        <w:jc w:val="left"/>
        <w:rPr>
          <w:rFonts w:ascii="Arial" w:hAnsi="Arial" w:cs="Arial"/>
          <w:sz w:val="22"/>
        </w:rPr>
      </w:pPr>
    </w:p>
    <w:p w14:paraId="48CDA63A" w14:textId="7FDC5252" w:rsidR="002812B0" w:rsidRDefault="004201D3" w:rsidP="004D5536">
      <w:pPr>
        <w:widowControl w:val="0"/>
        <w:jc w:val="left"/>
        <w:rPr>
          <w:rFonts w:ascii="Arial" w:hAnsi="Arial" w:cs="Arial"/>
          <w:sz w:val="22"/>
        </w:rPr>
      </w:pPr>
      <w:r w:rsidRPr="00EA2CF0">
        <w:rPr>
          <w:rFonts w:ascii="Arial" w:hAnsi="Arial" w:cs="Arial"/>
          <w:sz w:val="22"/>
        </w:rPr>
        <w:t>On Dec</w:t>
      </w:r>
      <w:r w:rsidR="00EA2CF0">
        <w:rPr>
          <w:rFonts w:ascii="Arial" w:hAnsi="Arial" w:cs="Arial"/>
          <w:sz w:val="22"/>
        </w:rPr>
        <w:t xml:space="preserve">. </w:t>
      </w:r>
      <w:r w:rsidRPr="00EA2CF0">
        <w:rPr>
          <w:rFonts w:ascii="Arial" w:hAnsi="Arial" w:cs="Arial"/>
          <w:sz w:val="22"/>
        </w:rPr>
        <w:t>20, 2024, the U</w:t>
      </w:r>
      <w:r w:rsidR="008E6D91" w:rsidRPr="00EA2CF0">
        <w:rPr>
          <w:rFonts w:ascii="Arial" w:hAnsi="Arial" w:cs="Arial"/>
          <w:sz w:val="22"/>
        </w:rPr>
        <w:t>.</w:t>
      </w:r>
      <w:r w:rsidRPr="00EA2CF0">
        <w:rPr>
          <w:rFonts w:ascii="Arial" w:hAnsi="Arial" w:cs="Arial"/>
          <w:sz w:val="22"/>
        </w:rPr>
        <w:t>S</w:t>
      </w:r>
      <w:r w:rsidR="008E6D91" w:rsidRPr="00EA2CF0">
        <w:rPr>
          <w:rFonts w:ascii="Arial" w:hAnsi="Arial" w:cs="Arial"/>
          <w:sz w:val="22"/>
        </w:rPr>
        <w:t>.</w:t>
      </w:r>
      <w:r w:rsidRPr="00EA2CF0">
        <w:rPr>
          <w:rFonts w:ascii="Arial" w:hAnsi="Arial" w:cs="Arial"/>
          <w:sz w:val="22"/>
        </w:rPr>
        <w:t xml:space="preserve"> Department of Energy (DOE) published a </w:t>
      </w:r>
      <w:hyperlink r:id="rId9" w:history="1">
        <w:r w:rsidRPr="00EA2CF0">
          <w:rPr>
            <w:rStyle w:val="Hyperlink"/>
            <w:rFonts w:ascii="Arial" w:hAnsi="Arial" w:cs="Arial"/>
            <w:sz w:val="22"/>
          </w:rPr>
          <w:t>final rule</w:t>
        </w:r>
      </w:hyperlink>
      <w:r w:rsidRPr="00EA2CF0">
        <w:rPr>
          <w:rFonts w:ascii="Arial" w:hAnsi="Arial" w:cs="Arial"/>
          <w:sz w:val="22"/>
        </w:rPr>
        <w:t xml:space="preserve"> </w:t>
      </w:r>
      <w:r w:rsidR="00EA2CF0">
        <w:rPr>
          <w:rFonts w:ascii="Arial" w:hAnsi="Arial" w:cs="Arial"/>
          <w:sz w:val="22"/>
        </w:rPr>
        <w:t xml:space="preserve">(PPR) </w:t>
      </w:r>
      <w:r w:rsidRPr="00EA2CF0">
        <w:rPr>
          <w:rFonts w:ascii="Arial" w:hAnsi="Arial" w:cs="Arial"/>
          <w:sz w:val="22"/>
        </w:rPr>
        <w:t>pertaining to energy conservation standards for commercial refrigerators, freezers, and refrigerator-freezers (commercial refrigeration equipment or CRE).</w:t>
      </w:r>
      <w:r w:rsidR="00EA2CF0">
        <w:rPr>
          <w:rFonts w:ascii="Arial" w:hAnsi="Arial" w:cs="Arial"/>
          <w:sz w:val="22"/>
        </w:rPr>
        <w:t xml:space="preserve"> Prior to the rule being issued, </w:t>
      </w:r>
      <w:r w:rsidR="008863A5" w:rsidRPr="00EA2CF0">
        <w:rPr>
          <w:rFonts w:ascii="Arial" w:hAnsi="Arial" w:cs="Arial"/>
          <w:sz w:val="22"/>
        </w:rPr>
        <w:t xml:space="preserve">NAFEM commented on both the </w:t>
      </w:r>
      <w:hyperlink r:id="rId10" w:history="1">
        <w:r w:rsidR="008863A5" w:rsidRPr="00EA2CF0">
          <w:rPr>
            <w:rStyle w:val="Hyperlink"/>
            <w:rFonts w:ascii="Arial" w:hAnsi="Arial" w:cs="Arial"/>
            <w:sz w:val="22"/>
          </w:rPr>
          <w:t>Notice of Proposed Rulemaking</w:t>
        </w:r>
      </w:hyperlink>
      <w:r w:rsidR="008863A5" w:rsidRPr="00EA2CF0">
        <w:rPr>
          <w:rFonts w:ascii="Arial" w:hAnsi="Arial" w:cs="Arial"/>
          <w:sz w:val="22"/>
        </w:rPr>
        <w:t xml:space="preserve"> (88 Fed. Reg. 70196; Oct. 10, 2023) and the </w:t>
      </w:r>
      <w:hyperlink r:id="rId11" w:history="1">
        <w:r w:rsidR="008863A5" w:rsidRPr="00EA2CF0">
          <w:rPr>
            <w:rStyle w:val="Hyperlink"/>
            <w:rFonts w:ascii="Arial" w:hAnsi="Arial" w:cs="Arial"/>
            <w:sz w:val="22"/>
          </w:rPr>
          <w:t>Notification of Data Availability</w:t>
        </w:r>
      </w:hyperlink>
      <w:r w:rsidR="008863A5" w:rsidRPr="00EA2CF0">
        <w:rPr>
          <w:rFonts w:ascii="Arial" w:hAnsi="Arial" w:cs="Arial"/>
          <w:sz w:val="22"/>
        </w:rPr>
        <w:t xml:space="preserve"> (89 Fed. Reg. 68788; Aug. 28, 2024)</w:t>
      </w:r>
      <w:r w:rsidR="002812B0" w:rsidRPr="00EA2CF0">
        <w:rPr>
          <w:rFonts w:ascii="Arial" w:hAnsi="Arial" w:cs="Arial"/>
          <w:sz w:val="22"/>
        </w:rPr>
        <w:t xml:space="preserve">, as well as </w:t>
      </w:r>
      <w:r w:rsidR="00EA2CF0">
        <w:rPr>
          <w:rFonts w:ascii="Arial" w:hAnsi="Arial" w:cs="Arial"/>
          <w:sz w:val="22"/>
        </w:rPr>
        <w:t xml:space="preserve">the comments of </w:t>
      </w:r>
      <w:r w:rsidR="002812B0" w:rsidRPr="00EA2CF0">
        <w:rPr>
          <w:rFonts w:ascii="Arial" w:hAnsi="Arial" w:cs="Arial"/>
          <w:sz w:val="22"/>
        </w:rPr>
        <w:t>many partner organizations, including Air-Conditioning, Heating, and Refrigeration Institute (AHRI) and the National Automatic Merchandising Association (NAMA).</w:t>
      </w:r>
      <w:r w:rsidR="00EA2CF0">
        <w:rPr>
          <w:rFonts w:ascii="Arial" w:hAnsi="Arial" w:cs="Arial"/>
          <w:sz w:val="22"/>
        </w:rPr>
        <w:t xml:space="preserve"> </w:t>
      </w:r>
      <w:r w:rsidR="002812B0" w:rsidRPr="00EA2CF0">
        <w:rPr>
          <w:rFonts w:ascii="Arial" w:hAnsi="Arial" w:cs="Arial"/>
          <w:sz w:val="22"/>
        </w:rPr>
        <w:t>NAFEM, AHRI, and NAMA also conducted outreach to the U</w:t>
      </w:r>
      <w:r w:rsidR="00EA2CF0">
        <w:rPr>
          <w:rFonts w:ascii="Arial" w:hAnsi="Arial" w:cs="Arial"/>
          <w:sz w:val="22"/>
        </w:rPr>
        <w:t>.</w:t>
      </w:r>
      <w:r w:rsidR="002812B0" w:rsidRPr="00EA2CF0">
        <w:rPr>
          <w:rFonts w:ascii="Arial" w:hAnsi="Arial" w:cs="Arial"/>
          <w:sz w:val="22"/>
        </w:rPr>
        <w:t>S</w:t>
      </w:r>
      <w:r w:rsidR="00EA2CF0">
        <w:rPr>
          <w:rFonts w:ascii="Arial" w:hAnsi="Arial" w:cs="Arial"/>
          <w:sz w:val="22"/>
        </w:rPr>
        <w:t>.</w:t>
      </w:r>
      <w:r w:rsidR="002812B0" w:rsidRPr="00EA2CF0">
        <w:rPr>
          <w:rFonts w:ascii="Arial" w:hAnsi="Arial" w:cs="Arial"/>
          <w:sz w:val="22"/>
        </w:rPr>
        <w:t xml:space="preserve"> Small Business Administration </w:t>
      </w:r>
      <w:r w:rsidR="00EA2CF0">
        <w:rPr>
          <w:rFonts w:ascii="Arial" w:hAnsi="Arial" w:cs="Arial"/>
          <w:sz w:val="22"/>
        </w:rPr>
        <w:t>Office of Advocacy</w:t>
      </w:r>
      <w:r w:rsidR="00202F6A">
        <w:rPr>
          <w:rFonts w:ascii="Arial" w:hAnsi="Arial" w:cs="Arial"/>
          <w:sz w:val="22"/>
        </w:rPr>
        <w:t>,</w:t>
      </w:r>
      <w:r w:rsidR="00202F6A" w:rsidRPr="00EA2CF0">
        <w:rPr>
          <w:rFonts w:ascii="Arial" w:hAnsi="Arial" w:cs="Arial"/>
          <w:sz w:val="22"/>
        </w:rPr>
        <w:t xml:space="preserve"> </w:t>
      </w:r>
      <w:r w:rsidR="002812B0" w:rsidRPr="00EA2CF0">
        <w:rPr>
          <w:rFonts w:ascii="Arial" w:hAnsi="Arial" w:cs="Arial"/>
          <w:sz w:val="22"/>
        </w:rPr>
        <w:t>the Office of Information and Regulatory Affairs in the Office of Management and Budget</w:t>
      </w:r>
      <w:r w:rsidR="00202F6A">
        <w:rPr>
          <w:rFonts w:ascii="Arial" w:hAnsi="Arial" w:cs="Arial"/>
          <w:sz w:val="22"/>
        </w:rPr>
        <w:t xml:space="preserve"> and to Members of Congress representing companies and employees that will be impacted by this rule</w:t>
      </w:r>
      <w:r w:rsidR="006F1C72">
        <w:rPr>
          <w:rFonts w:ascii="Arial" w:hAnsi="Arial" w:cs="Arial"/>
          <w:sz w:val="22"/>
        </w:rPr>
        <w:t>.</w:t>
      </w:r>
    </w:p>
    <w:p w14:paraId="6AF606F6" w14:textId="77777777" w:rsidR="004D5536" w:rsidRPr="00EA2CF0" w:rsidRDefault="004D5536" w:rsidP="004D5536">
      <w:pPr>
        <w:widowControl w:val="0"/>
        <w:jc w:val="left"/>
        <w:rPr>
          <w:rFonts w:ascii="Arial" w:hAnsi="Arial" w:cs="Arial"/>
          <w:sz w:val="22"/>
        </w:rPr>
      </w:pPr>
    </w:p>
    <w:p w14:paraId="1A3AB536" w14:textId="6C47F3EF" w:rsidR="00693A4D" w:rsidRPr="00EA2CF0" w:rsidRDefault="002812B0" w:rsidP="00EA2CF0">
      <w:pPr>
        <w:widowControl w:val="0"/>
        <w:spacing w:after="240"/>
        <w:jc w:val="left"/>
        <w:rPr>
          <w:rFonts w:ascii="Arial" w:hAnsi="Arial" w:cs="Arial"/>
          <w:sz w:val="22"/>
        </w:rPr>
      </w:pPr>
      <w:r w:rsidRPr="00EA2CF0">
        <w:rPr>
          <w:rFonts w:ascii="Arial" w:hAnsi="Arial" w:cs="Arial"/>
          <w:sz w:val="22"/>
        </w:rPr>
        <w:t xml:space="preserve">Despite </w:t>
      </w:r>
      <w:r w:rsidR="00E22970" w:rsidRPr="00EA2CF0">
        <w:rPr>
          <w:rFonts w:ascii="Arial" w:hAnsi="Arial" w:cs="Arial"/>
          <w:sz w:val="22"/>
        </w:rPr>
        <w:t>NAFEM’s</w:t>
      </w:r>
      <w:r w:rsidRPr="00EA2CF0">
        <w:rPr>
          <w:rFonts w:ascii="Arial" w:hAnsi="Arial" w:cs="Arial"/>
          <w:sz w:val="22"/>
        </w:rPr>
        <w:t xml:space="preserve"> advocacy and joint request that DOE issue a “no-new-standard,” DOE</w:t>
      </w:r>
      <w:r w:rsidR="008E6D91" w:rsidRPr="00EA2CF0">
        <w:rPr>
          <w:rFonts w:ascii="Arial" w:hAnsi="Arial" w:cs="Arial"/>
          <w:sz w:val="22"/>
        </w:rPr>
        <w:t xml:space="preserve"> </w:t>
      </w:r>
      <w:r w:rsidRPr="00EA2CF0">
        <w:rPr>
          <w:rFonts w:ascii="Arial" w:hAnsi="Arial" w:cs="Arial"/>
          <w:sz w:val="22"/>
        </w:rPr>
        <w:t xml:space="preserve">declined to accept </w:t>
      </w:r>
      <w:r w:rsidR="00E22970" w:rsidRPr="00EA2CF0">
        <w:rPr>
          <w:rFonts w:ascii="Arial" w:hAnsi="Arial" w:cs="Arial"/>
          <w:sz w:val="22"/>
        </w:rPr>
        <w:t>NAFEM’s</w:t>
      </w:r>
      <w:r w:rsidRPr="00EA2CF0">
        <w:rPr>
          <w:rFonts w:ascii="Arial" w:hAnsi="Arial" w:cs="Arial"/>
          <w:sz w:val="22"/>
        </w:rPr>
        <w:t xml:space="preserve"> position and issue</w:t>
      </w:r>
      <w:r w:rsidR="00EA2CF0">
        <w:rPr>
          <w:rFonts w:ascii="Arial" w:hAnsi="Arial" w:cs="Arial"/>
          <w:sz w:val="22"/>
        </w:rPr>
        <w:t>d</w:t>
      </w:r>
      <w:r w:rsidRPr="00EA2CF0">
        <w:rPr>
          <w:rFonts w:ascii="Arial" w:hAnsi="Arial" w:cs="Arial"/>
          <w:sz w:val="22"/>
        </w:rPr>
        <w:t xml:space="preserve"> </w:t>
      </w:r>
      <w:r w:rsidR="00EA2CF0">
        <w:rPr>
          <w:rFonts w:ascii="Arial" w:hAnsi="Arial" w:cs="Arial"/>
          <w:sz w:val="22"/>
        </w:rPr>
        <w:t xml:space="preserve">new </w:t>
      </w:r>
      <w:r w:rsidRPr="00EA2CF0">
        <w:rPr>
          <w:rFonts w:ascii="Arial" w:hAnsi="Arial" w:cs="Arial"/>
          <w:sz w:val="22"/>
        </w:rPr>
        <w:t>energy-efficiency standards for CRE.</w:t>
      </w:r>
      <w:r w:rsidR="00EA2CF0">
        <w:rPr>
          <w:rFonts w:ascii="Arial" w:hAnsi="Arial" w:cs="Arial"/>
          <w:sz w:val="22"/>
        </w:rPr>
        <w:t xml:space="preserve"> </w:t>
      </w:r>
    </w:p>
    <w:bookmarkEnd w:id="1"/>
    <w:p w14:paraId="2D773F52" w14:textId="6D315FF2" w:rsidR="002812B0" w:rsidRPr="00EA2CF0" w:rsidRDefault="00924664" w:rsidP="00EA2CF0">
      <w:pPr>
        <w:widowControl w:val="0"/>
        <w:spacing w:after="240"/>
        <w:jc w:val="left"/>
        <w:rPr>
          <w:rFonts w:ascii="Arial" w:hAnsi="Arial" w:cs="Arial"/>
          <w:sz w:val="22"/>
        </w:rPr>
      </w:pPr>
      <w:r w:rsidRPr="00EA2CF0">
        <w:rPr>
          <w:rFonts w:ascii="Arial" w:hAnsi="Arial" w:cs="Arial"/>
          <w:sz w:val="22"/>
        </w:rPr>
        <w:t xml:space="preserve">A summary of </w:t>
      </w:r>
      <w:r w:rsidR="004B4462" w:rsidRPr="00EA2CF0">
        <w:rPr>
          <w:rFonts w:ascii="Arial" w:hAnsi="Arial" w:cs="Arial"/>
          <w:sz w:val="22"/>
        </w:rPr>
        <w:t xml:space="preserve">DOE’s </w:t>
      </w:r>
      <w:r w:rsidRPr="00EA2CF0">
        <w:rPr>
          <w:rFonts w:ascii="Arial" w:hAnsi="Arial" w:cs="Arial"/>
          <w:sz w:val="22"/>
        </w:rPr>
        <w:t>m</w:t>
      </w:r>
      <w:r w:rsidR="004B4462" w:rsidRPr="00EA2CF0">
        <w:rPr>
          <w:rFonts w:ascii="Arial" w:hAnsi="Arial" w:cs="Arial"/>
          <w:sz w:val="22"/>
        </w:rPr>
        <w:t xml:space="preserve">aterial points </w:t>
      </w:r>
      <w:r w:rsidR="00693A4D" w:rsidRPr="00EA2CF0">
        <w:rPr>
          <w:rFonts w:ascii="Arial" w:hAnsi="Arial" w:cs="Arial"/>
          <w:sz w:val="22"/>
        </w:rPr>
        <w:t>is</w:t>
      </w:r>
      <w:r w:rsidR="004B4462" w:rsidRPr="00EA2CF0">
        <w:rPr>
          <w:rFonts w:ascii="Arial" w:hAnsi="Arial" w:cs="Arial"/>
          <w:sz w:val="22"/>
        </w:rPr>
        <w:t xml:space="preserve"> outlined below:</w:t>
      </w:r>
    </w:p>
    <w:p w14:paraId="23F8AA0D" w14:textId="593158C3" w:rsidR="002F07FA" w:rsidRPr="00EA2CF0" w:rsidRDefault="00924664" w:rsidP="00EA2CF0">
      <w:pPr>
        <w:pStyle w:val="ListParagraph"/>
        <w:widowControl w:val="0"/>
        <w:numPr>
          <w:ilvl w:val="0"/>
          <w:numId w:val="13"/>
        </w:numPr>
        <w:spacing w:after="240"/>
        <w:contextualSpacing w:val="0"/>
        <w:jc w:val="left"/>
        <w:rPr>
          <w:rFonts w:ascii="Arial" w:hAnsi="Arial" w:cs="Arial"/>
          <w:sz w:val="22"/>
        </w:rPr>
      </w:pPr>
      <w:r w:rsidRPr="00EA2CF0">
        <w:rPr>
          <w:rFonts w:ascii="Arial" w:hAnsi="Arial" w:cs="Arial"/>
          <w:b/>
          <w:bCs/>
          <w:sz w:val="22"/>
          <w:u w:val="single"/>
        </w:rPr>
        <w:t xml:space="preserve">Compliance </w:t>
      </w:r>
      <w:r w:rsidR="004B4462" w:rsidRPr="00EA2CF0">
        <w:rPr>
          <w:rFonts w:ascii="Arial" w:hAnsi="Arial" w:cs="Arial"/>
          <w:b/>
          <w:bCs/>
          <w:sz w:val="22"/>
          <w:u w:val="single"/>
        </w:rPr>
        <w:t>Period—</w:t>
      </w:r>
      <w:r w:rsidR="001E68C2" w:rsidRPr="00EA2CF0">
        <w:rPr>
          <w:rFonts w:ascii="Arial" w:hAnsi="Arial" w:cs="Arial"/>
          <w:b/>
          <w:bCs/>
          <w:sz w:val="22"/>
          <w:u w:val="single"/>
        </w:rPr>
        <w:t>4 Years (</w:t>
      </w:r>
      <w:r w:rsidRPr="00EA2CF0">
        <w:rPr>
          <w:rFonts w:ascii="Arial" w:hAnsi="Arial" w:cs="Arial"/>
          <w:b/>
          <w:bCs/>
          <w:sz w:val="22"/>
          <w:u w:val="single"/>
        </w:rPr>
        <w:t xml:space="preserve">3 Years </w:t>
      </w:r>
      <w:r w:rsidR="001E68C2" w:rsidRPr="00EA2CF0">
        <w:rPr>
          <w:rFonts w:ascii="Arial" w:hAnsi="Arial" w:cs="Arial"/>
          <w:b/>
          <w:bCs/>
          <w:sz w:val="22"/>
          <w:u w:val="single"/>
        </w:rPr>
        <w:t xml:space="preserve">in </w:t>
      </w:r>
      <w:r w:rsidRPr="00EA2CF0">
        <w:rPr>
          <w:rFonts w:ascii="Arial" w:hAnsi="Arial" w:cs="Arial"/>
          <w:b/>
          <w:bCs/>
          <w:sz w:val="22"/>
          <w:u w:val="single"/>
        </w:rPr>
        <w:t>Proposed</w:t>
      </w:r>
      <w:r w:rsidR="001E68C2" w:rsidRPr="00EA2CF0">
        <w:rPr>
          <w:rFonts w:ascii="Arial" w:hAnsi="Arial" w:cs="Arial"/>
          <w:b/>
          <w:bCs/>
          <w:sz w:val="22"/>
          <w:u w:val="single"/>
        </w:rPr>
        <w:t xml:space="preserve"> </w:t>
      </w:r>
      <w:r w:rsidRPr="00EA2CF0">
        <w:rPr>
          <w:rFonts w:ascii="Arial" w:hAnsi="Arial" w:cs="Arial"/>
          <w:b/>
          <w:bCs/>
          <w:sz w:val="22"/>
          <w:u w:val="single"/>
        </w:rPr>
        <w:t>Rule</w:t>
      </w:r>
      <w:r w:rsidR="001E68C2" w:rsidRPr="00EA2CF0">
        <w:rPr>
          <w:rFonts w:ascii="Arial" w:hAnsi="Arial" w:cs="Arial"/>
          <w:b/>
          <w:bCs/>
          <w:sz w:val="22"/>
          <w:u w:val="single"/>
        </w:rPr>
        <w:t>)</w:t>
      </w:r>
      <w:r w:rsidR="004B4462" w:rsidRPr="00EA2CF0">
        <w:rPr>
          <w:rFonts w:ascii="Arial" w:hAnsi="Arial" w:cs="Arial"/>
          <w:b/>
          <w:bCs/>
          <w:sz w:val="22"/>
          <w:u w:val="single"/>
        </w:rPr>
        <w:t>.</w:t>
      </w:r>
      <w:r w:rsidR="00EA2CF0">
        <w:rPr>
          <w:rFonts w:ascii="Arial" w:hAnsi="Arial" w:cs="Arial"/>
          <w:sz w:val="22"/>
        </w:rPr>
        <w:t xml:space="preserve"> </w:t>
      </w:r>
      <w:r w:rsidR="001E57E5" w:rsidRPr="00EA2CF0">
        <w:rPr>
          <w:rFonts w:ascii="Arial" w:hAnsi="Arial" w:cs="Arial"/>
          <w:sz w:val="22"/>
        </w:rPr>
        <w:t>“Based on stakeholder comments and DOE’s assessment of the overlapping Federal refrigerant regulations and recent changes to UL safety standards for CRE, DOE is extending the compliance period from the 3-years analyzed in the October 2023 NOPR (modeled as a 2028 compliance year) to 4-years (modeled as a 2029 compliance year) for this final rule.”</w:t>
      </w:r>
      <w:r w:rsidR="00EA2CF0">
        <w:rPr>
          <w:rFonts w:ascii="Arial" w:hAnsi="Arial" w:cs="Arial"/>
          <w:sz w:val="22"/>
        </w:rPr>
        <w:t xml:space="preserve"> </w:t>
      </w:r>
      <w:r w:rsidR="001E57E5" w:rsidRPr="00EA2CF0">
        <w:rPr>
          <w:rFonts w:ascii="Arial" w:hAnsi="Arial" w:cs="Arial"/>
          <w:sz w:val="22"/>
        </w:rPr>
        <w:t>(</w:t>
      </w:r>
      <w:r w:rsidR="008E6D91" w:rsidRPr="00EA2CF0">
        <w:rPr>
          <w:rFonts w:ascii="Arial" w:hAnsi="Arial" w:cs="Arial"/>
          <w:sz w:val="22"/>
        </w:rPr>
        <w:t>PPR at</w:t>
      </w:r>
      <w:r w:rsidR="001E57E5" w:rsidRPr="00EA2CF0">
        <w:rPr>
          <w:rFonts w:ascii="Arial" w:hAnsi="Arial" w:cs="Arial"/>
          <w:sz w:val="22"/>
        </w:rPr>
        <w:t xml:space="preserve"> 41.)</w:t>
      </w:r>
    </w:p>
    <w:p w14:paraId="0F4C4B2F" w14:textId="59411F4F" w:rsidR="001E57E5" w:rsidRPr="00EA2CF0" w:rsidRDefault="002F07FA" w:rsidP="00EA2CF0">
      <w:pPr>
        <w:pStyle w:val="ListParagraph"/>
        <w:widowControl w:val="0"/>
        <w:numPr>
          <w:ilvl w:val="0"/>
          <w:numId w:val="13"/>
        </w:numPr>
        <w:spacing w:after="240"/>
        <w:contextualSpacing w:val="0"/>
        <w:jc w:val="left"/>
        <w:rPr>
          <w:rFonts w:ascii="Arial" w:hAnsi="Arial" w:cs="Arial"/>
          <w:sz w:val="22"/>
        </w:rPr>
      </w:pPr>
      <w:r w:rsidRPr="00EA2CF0">
        <w:rPr>
          <w:rFonts w:ascii="Arial" w:hAnsi="Arial" w:cs="Arial"/>
          <w:b/>
          <w:bCs/>
          <w:sz w:val="22"/>
          <w:u w:val="single"/>
        </w:rPr>
        <w:t>Trial Standard Level</w:t>
      </w:r>
      <w:r w:rsidR="00924664" w:rsidRPr="00EA2CF0">
        <w:rPr>
          <w:rFonts w:ascii="Arial" w:hAnsi="Arial" w:cs="Arial"/>
          <w:b/>
          <w:bCs/>
          <w:sz w:val="22"/>
          <w:u w:val="single"/>
        </w:rPr>
        <w:t>—</w:t>
      </w:r>
      <w:r w:rsidR="001E68C2" w:rsidRPr="00EA2CF0">
        <w:rPr>
          <w:rFonts w:ascii="Arial" w:hAnsi="Arial" w:cs="Arial"/>
          <w:b/>
          <w:bCs/>
          <w:sz w:val="22"/>
          <w:u w:val="single"/>
        </w:rPr>
        <w:t>3 (</w:t>
      </w:r>
      <w:r w:rsidR="00924664" w:rsidRPr="00EA2CF0">
        <w:rPr>
          <w:rFonts w:ascii="Arial" w:hAnsi="Arial" w:cs="Arial"/>
          <w:b/>
          <w:bCs/>
          <w:sz w:val="22"/>
          <w:u w:val="single"/>
        </w:rPr>
        <w:t xml:space="preserve">5 </w:t>
      </w:r>
      <w:r w:rsidR="001E68C2" w:rsidRPr="00EA2CF0">
        <w:rPr>
          <w:rFonts w:ascii="Arial" w:hAnsi="Arial" w:cs="Arial"/>
          <w:b/>
          <w:bCs/>
          <w:sz w:val="22"/>
          <w:u w:val="single"/>
        </w:rPr>
        <w:t xml:space="preserve">in </w:t>
      </w:r>
      <w:r w:rsidR="00924664" w:rsidRPr="00EA2CF0">
        <w:rPr>
          <w:rFonts w:ascii="Arial" w:hAnsi="Arial" w:cs="Arial"/>
          <w:b/>
          <w:bCs/>
          <w:sz w:val="22"/>
          <w:u w:val="single"/>
        </w:rPr>
        <w:t>Proposed</w:t>
      </w:r>
      <w:r w:rsidR="001E68C2" w:rsidRPr="00EA2CF0">
        <w:rPr>
          <w:rFonts w:ascii="Arial" w:hAnsi="Arial" w:cs="Arial"/>
          <w:b/>
          <w:bCs/>
          <w:sz w:val="22"/>
          <w:u w:val="single"/>
        </w:rPr>
        <w:t xml:space="preserve"> Rule)</w:t>
      </w:r>
      <w:r w:rsidRPr="00EA2CF0">
        <w:rPr>
          <w:rFonts w:ascii="Arial" w:hAnsi="Arial" w:cs="Arial"/>
          <w:b/>
          <w:bCs/>
          <w:sz w:val="22"/>
          <w:u w:val="single"/>
        </w:rPr>
        <w:t>.</w:t>
      </w:r>
      <w:r w:rsidR="00EA2CF0">
        <w:rPr>
          <w:rFonts w:ascii="Arial" w:hAnsi="Arial" w:cs="Arial"/>
          <w:sz w:val="22"/>
        </w:rPr>
        <w:t xml:space="preserve"> </w:t>
      </w:r>
    </w:p>
    <w:p w14:paraId="0DB8C61C" w14:textId="58D89976" w:rsidR="001E57E5" w:rsidRPr="00EA2CF0" w:rsidRDefault="001E57E5" w:rsidP="00EA2CF0">
      <w:pPr>
        <w:pStyle w:val="ListParagraph"/>
        <w:widowControl w:val="0"/>
        <w:numPr>
          <w:ilvl w:val="1"/>
          <w:numId w:val="13"/>
        </w:numPr>
        <w:spacing w:after="240"/>
        <w:contextualSpacing w:val="0"/>
        <w:jc w:val="left"/>
        <w:rPr>
          <w:rFonts w:ascii="Arial" w:hAnsi="Arial" w:cs="Arial"/>
          <w:sz w:val="22"/>
        </w:rPr>
      </w:pPr>
      <w:r w:rsidRPr="00EA2CF0">
        <w:rPr>
          <w:rFonts w:ascii="Arial" w:hAnsi="Arial" w:cs="Arial"/>
          <w:sz w:val="22"/>
        </w:rPr>
        <w:t>“[C]</w:t>
      </w:r>
      <w:proofErr w:type="spellStart"/>
      <w:r w:rsidRPr="00EA2CF0">
        <w:rPr>
          <w:rFonts w:ascii="Arial" w:hAnsi="Arial" w:cs="Arial"/>
          <w:sz w:val="22"/>
        </w:rPr>
        <w:t>ompared</w:t>
      </w:r>
      <w:proofErr w:type="spellEnd"/>
      <w:r w:rsidRPr="00EA2CF0">
        <w:rPr>
          <w:rFonts w:ascii="Arial" w:hAnsi="Arial" w:cs="Arial"/>
          <w:sz w:val="22"/>
        </w:rPr>
        <w:t xml:space="preserve"> to the October 2023 NOPR, DOE is adopting generally less stringent efficiency levels (in terms of percent energy use below the analyzed baseline) for 22 out of the 28 directly analyzed equipment classes.”</w:t>
      </w:r>
      <w:r w:rsidR="00EA2CF0">
        <w:rPr>
          <w:rFonts w:ascii="Arial" w:hAnsi="Arial" w:cs="Arial"/>
          <w:sz w:val="22"/>
        </w:rPr>
        <w:t xml:space="preserve"> </w:t>
      </w:r>
      <w:r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 </w:t>
      </w:r>
      <w:r w:rsidRPr="00EA2CF0">
        <w:rPr>
          <w:rFonts w:ascii="Arial" w:hAnsi="Arial" w:cs="Arial"/>
          <w:sz w:val="22"/>
        </w:rPr>
        <w:t>45.)</w:t>
      </w:r>
      <w:r w:rsidR="00EA2CF0">
        <w:rPr>
          <w:rFonts w:ascii="Arial" w:hAnsi="Arial" w:cs="Arial"/>
          <w:sz w:val="22"/>
        </w:rPr>
        <w:t xml:space="preserve"> </w:t>
      </w:r>
    </w:p>
    <w:p w14:paraId="479069B2" w14:textId="033A451E" w:rsidR="004B4462" w:rsidRPr="00EA2CF0" w:rsidRDefault="001E57E5" w:rsidP="00EA2CF0">
      <w:pPr>
        <w:pStyle w:val="ListParagraph"/>
        <w:widowControl w:val="0"/>
        <w:numPr>
          <w:ilvl w:val="1"/>
          <w:numId w:val="13"/>
        </w:numPr>
        <w:spacing w:after="240"/>
        <w:contextualSpacing w:val="0"/>
        <w:jc w:val="left"/>
        <w:rPr>
          <w:rFonts w:ascii="Arial" w:hAnsi="Arial" w:cs="Arial"/>
          <w:sz w:val="22"/>
        </w:rPr>
      </w:pPr>
      <w:r w:rsidRPr="00EA2CF0">
        <w:rPr>
          <w:rFonts w:ascii="Arial" w:hAnsi="Arial" w:cs="Arial"/>
          <w:sz w:val="22"/>
        </w:rPr>
        <w:t xml:space="preserve">“In the October 2023 NOPR, DOE tentatively determined that </w:t>
      </w:r>
      <w:proofErr w:type="spellStart"/>
      <w:r w:rsidRPr="00EA2CF0">
        <w:rPr>
          <w:rFonts w:ascii="Arial" w:hAnsi="Arial" w:cs="Arial"/>
          <w:sz w:val="22"/>
        </w:rPr>
        <w:t>TSL</w:t>
      </w:r>
      <w:proofErr w:type="spellEnd"/>
      <w:r w:rsidRPr="00EA2CF0">
        <w:rPr>
          <w:rFonts w:ascii="Arial" w:hAnsi="Arial" w:cs="Arial"/>
          <w:sz w:val="22"/>
        </w:rPr>
        <w:t xml:space="preserve"> 5 represented the maximum improvement in energy efficiency that is technologically feasible and economically justified and to establish new energy conservation standards for covered equipment not yet subject to energy conservation standards.</w:t>
      </w:r>
      <w:r w:rsidR="00EA2CF0">
        <w:rPr>
          <w:rFonts w:ascii="Arial" w:hAnsi="Arial" w:cs="Arial"/>
          <w:sz w:val="22"/>
        </w:rPr>
        <w:t xml:space="preserve"> </w:t>
      </w:r>
      <w:r w:rsidRPr="00EA2CF0">
        <w:rPr>
          <w:rFonts w:ascii="Arial" w:hAnsi="Arial" w:cs="Arial"/>
          <w:sz w:val="22"/>
        </w:rPr>
        <w:t xml:space="preserve">In response to the October 2023 NOPR, DOE received feedback from commenters suggesting changes to the October 2023 NOPR analysis. After consideration of this feedback and a review of new test data, in this final rule, DOE has adjusted certain aspects of the October 2023 NOPR analysis approach. [Now,] DOE is adopting new and amended energy conservation standards (i.e., </w:t>
      </w:r>
      <w:proofErr w:type="spellStart"/>
      <w:r w:rsidRPr="00EA2CF0">
        <w:rPr>
          <w:rFonts w:ascii="Arial" w:hAnsi="Arial" w:cs="Arial"/>
          <w:sz w:val="22"/>
        </w:rPr>
        <w:t>TSL</w:t>
      </w:r>
      <w:proofErr w:type="spellEnd"/>
      <w:r w:rsidRPr="00EA2CF0">
        <w:rPr>
          <w:rFonts w:ascii="Arial" w:hAnsi="Arial" w:cs="Arial"/>
          <w:sz w:val="22"/>
        </w:rPr>
        <w:t xml:space="preserve"> 3) that DOE has determined represent the maximum improvement in energy efficiency that is technologically feasible and economically justified based on the numerous revisions to inputs and the analysis, resulting in </w:t>
      </w:r>
      <w:r w:rsidRPr="00EA2CF0">
        <w:rPr>
          <w:rFonts w:ascii="Arial" w:hAnsi="Arial" w:cs="Arial"/>
          <w:sz w:val="22"/>
        </w:rPr>
        <w:lastRenderedPageBreak/>
        <w:t>revised analytical outputs since the October 2023 NOPR, discussed throughout section IV of this final rule.”</w:t>
      </w:r>
      <w:r w:rsidR="00EA2CF0">
        <w:rPr>
          <w:rFonts w:ascii="Arial" w:hAnsi="Arial" w:cs="Arial"/>
          <w:sz w:val="22"/>
        </w:rPr>
        <w:t xml:space="preserve"> </w:t>
      </w:r>
      <w:r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w:t>
      </w:r>
      <w:r w:rsidRPr="00EA2CF0">
        <w:rPr>
          <w:rFonts w:ascii="Arial" w:hAnsi="Arial" w:cs="Arial"/>
          <w:sz w:val="22"/>
        </w:rPr>
        <w:t xml:space="preserve"> 60-61.)</w:t>
      </w:r>
    </w:p>
    <w:p w14:paraId="76D3903A" w14:textId="70D20B7F" w:rsidR="00432A7A" w:rsidRPr="00EA2CF0" w:rsidRDefault="00432A7A" w:rsidP="00EA2CF0">
      <w:pPr>
        <w:pStyle w:val="ListParagraph"/>
        <w:widowControl w:val="0"/>
        <w:numPr>
          <w:ilvl w:val="0"/>
          <w:numId w:val="13"/>
        </w:numPr>
        <w:spacing w:after="240"/>
        <w:contextualSpacing w:val="0"/>
        <w:jc w:val="left"/>
        <w:rPr>
          <w:rFonts w:ascii="Arial" w:hAnsi="Arial" w:cs="Arial"/>
          <w:sz w:val="22"/>
        </w:rPr>
      </w:pPr>
      <w:r w:rsidRPr="00EA2CF0">
        <w:rPr>
          <w:rFonts w:ascii="Arial" w:hAnsi="Arial" w:cs="Arial"/>
          <w:b/>
          <w:bCs/>
          <w:sz w:val="22"/>
          <w:u w:val="single"/>
        </w:rPr>
        <w:t>Limited Discussion of Food Safety.</w:t>
      </w:r>
      <w:r w:rsidR="00EA2CF0">
        <w:rPr>
          <w:rFonts w:ascii="Arial" w:hAnsi="Arial" w:cs="Arial"/>
          <w:sz w:val="22"/>
        </w:rPr>
        <w:t xml:space="preserve"> </w:t>
      </w:r>
      <w:r w:rsidRPr="00EA2CF0">
        <w:rPr>
          <w:rFonts w:ascii="Arial" w:hAnsi="Arial" w:cs="Arial"/>
          <w:sz w:val="22"/>
        </w:rPr>
        <w:t xml:space="preserve">“In response to comments about reviewing design options for efficiency but also for the ability to maintain food safe performance, and accounting for food loss and waste, DOE notes that in this final rule, consistent with the August 2024 NODA, DOE screened out evaporator fan controls after review of NSF 7 and other public comments stating that evaporator fan controls could potentially lead to internal case temperatures outside of NSF 7 tolerances, as further discussed in section </w:t>
      </w:r>
      <w:proofErr w:type="spellStart"/>
      <w:r w:rsidRPr="00EA2CF0">
        <w:rPr>
          <w:rFonts w:ascii="Arial" w:hAnsi="Arial" w:cs="Arial"/>
          <w:sz w:val="22"/>
        </w:rPr>
        <w:t>IV.B.1.f</w:t>
      </w:r>
      <w:proofErr w:type="spellEnd"/>
      <w:r w:rsidRPr="00EA2CF0">
        <w:rPr>
          <w:rFonts w:ascii="Arial" w:hAnsi="Arial" w:cs="Arial"/>
          <w:sz w:val="22"/>
        </w:rPr>
        <w:t>. DOE has reviewed all design options analyzed to improve efficiency in this final rule and has determined, based on data and information available to DOE at the time of this final rule, that all other design options analyzed to improve efficiency would not affect the ability of CRE equipment to maintain food safe temperatures.”</w:t>
      </w:r>
      <w:r w:rsidR="00EA2CF0">
        <w:rPr>
          <w:rFonts w:ascii="Arial" w:hAnsi="Arial" w:cs="Arial"/>
          <w:sz w:val="22"/>
        </w:rPr>
        <w:t xml:space="preserve"> </w:t>
      </w:r>
      <w:r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w:t>
      </w:r>
      <w:r w:rsidRPr="00EA2CF0">
        <w:rPr>
          <w:rFonts w:ascii="Arial" w:hAnsi="Arial" w:cs="Arial"/>
          <w:sz w:val="22"/>
        </w:rPr>
        <w:t xml:space="preserve"> 58.)</w:t>
      </w:r>
    </w:p>
    <w:p w14:paraId="76074CE0" w14:textId="71395407" w:rsidR="002F07FA" w:rsidRPr="00EA2CF0" w:rsidRDefault="002F07FA" w:rsidP="00EA2CF0">
      <w:pPr>
        <w:pStyle w:val="ListParagraph"/>
        <w:widowControl w:val="0"/>
        <w:numPr>
          <w:ilvl w:val="0"/>
          <w:numId w:val="13"/>
        </w:numPr>
        <w:spacing w:after="240"/>
        <w:contextualSpacing w:val="0"/>
        <w:jc w:val="left"/>
        <w:rPr>
          <w:rFonts w:ascii="Arial" w:hAnsi="Arial" w:cs="Arial"/>
          <w:sz w:val="22"/>
        </w:rPr>
      </w:pPr>
      <w:r w:rsidRPr="00EA2CF0">
        <w:rPr>
          <w:rFonts w:ascii="Arial" w:hAnsi="Arial" w:cs="Arial"/>
          <w:b/>
          <w:bCs/>
          <w:sz w:val="22"/>
          <w:u w:val="single"/>
        </w:rPr>
        <w:t xml:space="preserve">No Standards for </w:t>
      </w:r>
      <w:r w:rsidR="00C76005" w:rsidRPr="00EA2CF0">
        <w:rPr>
          <w:rFonts w:ascii="Arial" w:hAnsi="Arial" w:cs="Arial"/>
          <w:b/>
          <w:bCs/>
          <w:sz w:val="22"/>
          <w:u w:val="single"/>
        </w:rPr>
        <w:t xml:space="preserve">Certain </w:t>
      </w:r>
      <w:r w:rsidRPr="00EA2CF0">
        <w:rPr>
          <w:rFonts w:ascii="Arial" w:hAnsi="Arial" w:cs="Arial"/>
          <w:b/>
          <w:bCs/>
          <w:sz w:val="22"/>
          <w:u w:val="single"/>
        </w:rPr>
        <w:t>“Large Capacity CRE.”</w:t>
      </w:r>
      <w:r w:rsidR="00EA2CF0">
        <w:rPr>
          <w:rFonts w:ascii="Arial" w:hAnsi="Arial" w:cs="Arial"/>
          <w:sz w:val="22"/>
        </w:rPr>
        <w:t xml:space="preserve"> </w:t>
      </w:r>
      <w:r w:rsidR="00CF31AF" w:rsidRPr="00EA2CF0">
        <w:rPr>
          <w:rFonts w:ascii="Arial" w:hAnsi="Arial" w:cs="Arial"/>
          <w:sz w:val="22"/>
        </w:rPr>
        <w:t xml:space="preserve">DOE </w:t>
      </w:r>
      <w:r w:rsidR="008E6D91" w:rsidRPr="00EA2CF0">
        <w:rPr>
          <w:rFonts w:ascii="Arial" w:hAnsi="Arial" w:cs="Arial"/>
          <w:sz w:val="22"/>
        </w:rPr>
        <w:t>established</w:t>
      </w:r>
      <w:r w:rsidR="00CF31AF" w:rsidRPr="00EA2CF0">
        <w:rPr>
          <w:rFonts w:ascii="Arial" w:hAnsi="Arial" w:cs="Arial"/>
          <w:sz w:val="22"/>
        </w:rPr>
        <w:t xml:space="preserve"> and amend</w:t>
      </w:r>
      <w:r w:rsidR="008E6D91" w:rsidRPr="00EA2CF0">
        <w:rPr>
          <w:rFonts w:ascii="Arial" w:hAnsi="Arial" w:cs="Arial"/>
          <w:sz w:val="22"/>
        </w:rPr>
        <w:t>ed</w:t>
      </w:r>
      <w:r w:rsidR="00CF31AF" w:rsidRPr="00EA2CF0">
        <w:rPr>
          <w:rFonts w:ascii="Arial" w:hAnsi="Arial" w:cs="Arial"/>
          <w:sz w:val="22"/>
        </w:rPr>
        <w:t xml:space="preserve"> standards in this final rule for</w:t>
      </w:r>
      <w:r w:rsidR="00DF1958" w:rsidRPr="00EA2CF0">
        <w:rPr>
          <w:rFonts w:ascii="Arial" w:hAnsi="Arial" w:cs="Arial"/>
          <w:sz w:val="22"/>
        </w:rPr>
        <w:t xml:space="preserve"> all classes of CRE currently subject to energy conservation standards, and DOE is additionally establishing standards for chef bases </w:t>
      </w:r>
      <w:r w:rsidR="008A2418" w:rsidRPr="00EA2CF0">
        <w:rPr>
          <w:rFonts w:ascii="Arial" w:hAnsi="Arial" w:cs="Arial"/>
          <w:sz w:val="22"/>
        </w:rPr>
        <w:t>and</w:t>
      </w:r>
      <w:r w:rsidR="00DF1958" w:rsidRPr="00EA2CF0">
        <w:rPr>
          <w:rFonts w:ascii="Arial" w:hAnsi="Arial" w:cs="Arial"/>
          <w:sz w:val="22"/>
        </w:rPr>
        <w:t xml:space="preserve"> griddle stands.</w:t>
      </w:r>
      <w:r w:rsidR="00EA2CF0">
        <w:rPr>
          <w:rFonts w:ascii="Arial" w:hAnsi="Arial" w:cs="Arial"/>
          <w:sz w:val="22"/>
        </w:rPr>
        <w:t xml:space="preserve"> </w:t>
      </w:r>
      <w:r w:rsidR="00DF1958" w:rsidRPr="00EA2CF0">
        <w:rPr>
          <w:rFonts w:ascii="Arial" w:hAnsi="Arial" w:cs="Arial"/>
          <w:sz w:val="22"/>
        </w:rPr>
        <w:t>(p. 36.)</w:t>
      </w:r>
      <w:r w:rsidR="00EA2CF0">
        <w:rPr>
          <w:rFonts w:ascii="Arial" w:hAnsi="Arial" w:cs="Arial"/>
          <w:sz w:val="22"/>
        </w:rPr>
        <w:t xml:space="preserve"> </w:t>
      </w:r>
      <w:r w:rsidR="00C76005" w:rsidRPr="00EA2CF0">
        <w:rPr>
          <w:rFonts w:ascii="Arial" w:hAnsi="Arial" w:cs="Arial"/>
          <w:sz w:val="22"/>
        </w:rPr>
        <w:t>DOE is not</w:t>
      </w:r>
      <w:r w:rsidR="00B64B10" w:rsidRPr="00EA2CF0">
        <w:rPr>
          <w:rFonts w:ascii="Arial" w:hAnsi="Arial" w:cs="Arial"/>
          <w:sz w:val="22"/>
        </w:rPr>
        <w:t xml:space="preserve"> </w:t>
      </w:r>
      <w:r w:rsidR="00C76005" w:rsidRPr="00EA2CF0">
        <w:rPr>
          <w:rFonts w:ascii="Arial" w:hAnsi="Arial" w:cs="Arial"/>
          <w:sz w:val="22"/>
        </w:rPr>
        <w:t xml:space="preserve">amending standards for large-capacity CRE IV. for “the </w:t>
      </w:r>
      <w:proofErr w:type="spellStart"/>
      <w:r w:rsidR="00C76005" w:rsidRPr="00EA2CF0">
        <w:rPr>
          <w:rFonts w:ascii="Arial" w:hAnsi="Arial" w:cs="Arial"/>
          <w:sz w:val="22"/>
        </w:rPr>
        <w:t>VOP.SC.M</w:t>
      </w:r>
      <w:proofErr w:type="spellEnd"/>
      <w:r w:rsidR="00C76005" w:rsidRPr="00EA2CF0">
        <w:rPr>
          <w:rFonts w:ascii="Arial" w:hAnsi="Arial" w:cs="Arial"/>
          <w:sz w:val="22"/>
        </w:rPr>
        <w:t xml:space="preserve">, </w:t>
      </w:r>
      <w:proofErr w:type="spellStart"/>
      <w:r w:rsidR="00C76005" w:rsidRPr="00EA2CF0">
        <w:rPr>
          <w:rFonts w:ascii="Arial" w:hAnsi="Arial" w:cs="Arial"/>
          <w:sz w:val="22"/>
        </w:rPr>
        <w:t>SVO.SC.M</w:t>
      </w:r>
      <w:proofErr w:type="spellEnd"/>
      <w:r w:rsidR="00C76005" w:rsidRPr="00EA2CF0">
        <w:rPr>
          <w:rFonts w:ascii="Arial" w:hAnsi="Arial" w:cs="Arial"/>
          <w:sz w:val="22"/>
        </w:rPr>
        <w:t xml:space="preserve">, </w:t>
      </w:r>
      <w:proofErr w:type="spellStart"/>
      <w:r w:rsidR="00C76005" w:rsidRPr="00EA2CF0">
        <w:rPr>
          <w:rFonts w:ascii="Arial" w:hAnsi="Arial" w:cs="Arial"/>
          <w:sz w:val="22"/>
        </w:rPr>
        <w:t>HZO.SC.L</w:t>
      </w:r>
      <w:proofErr w:type="spellEnd"/>
      <w:r w:rsidR="00C76005" w:rsidRPr="00EA2CF0">
        <w:rPr>
          <w:rFonts w:ascii="Arial" w:hAnsi="Arial" w:cs="Arial"/>
          <w:sz w:val="22"/>
        </w:rPr>
        <w:t xml:space="preserve">, </w:t>
      </w:r>
      <w:proofErr w:type="spellStart"/>
      <w:r w:rsidR="00C76005" w:rsidRPr="00EA2CF0">
        <w:rPr>
          <w:rFonts w:ascii="Arial" w:hAnsi="Arial" w:cs="Arial"/>
          <w:sz w:val="22"/>
        </w:rPr>
        <w:t>SOC.SC.M</w:t>
      </w:r>
      <w:proofErr w:type="spellEnd"/>
      <w:r w:rsidR="00C76005" w:rsidRPr="00EA2CF0">
        <w:rPr>
          <w:rFonts w:ascii="Arial" w:hAnsi="Arial" w:cs="Arial"/>
          <w:sz w:val="22"/>
        </w:rPr>
        <w:t xml:space="preserve">, </w:t>
      </w:r>
      <w:proofErr w:type="spellStart"/>
      <w:r w:rsidR="00C76005" w:rsidRPr="00EA2CF0">
        <w:rPr>
          <w:rFonts w:ascii="Arial" w:hAnsi="Arial" w:cs="Arial"/>
          <w:sz w:val="22"/>
        </w:rPr>
        <w:t>VCT.SC.M</w:t>
      </w:r>
      <w:proofErr w:type="spellEnd"/>
      <w:r w:rsidR="00C76005" w:rsidRPr="00EA2CF0">
        <w:rPr>
          <w:rFonts w:ascii="Arial" w:hAnsi="Arial" w:cs="Arial"/>
          <w:sz w:val="22"/>
        </w:rPr>
        <w:t xml:space="preserve">, </w:t>
      </w:r>
      <w:proofErr w:type="spellStart"/>
      <w:r w:rsidR="00C76005" w:rsidRPr="00EA2CF0">
        <w:rPr>
          <w:rFonts w:ascii="Arial" w:hAnsi="Arial" w:cs="Arial"/>
          <w:sz w:val="22"/>
        </w:rPr>
        <w:t>VCT.SC.L</w:t>
      </w:r>
      <w:proofErr w:type="spellEnd"/>
      <w:r w:rsidR="00C76005" w:rsidRPr="00EA2CF0">
        <w:rPr>
          <w:rFonts w:ascii="Arial" w:hAnsi="Arial" w:cs="Arial"/>
          <w:sz w:val="22"/>
        </w:rPr>
        <w:t xml:space="preserve">, and </w:t>
      </w:r>
      <w:proofErr w:type="spellStart"/>
      <w:r w:rsidR="00C76005" w:rsidRPr="00EA2CF0">
        <w:rPr>
          <w:rFonts w:ascii="Arial" w:hAnsi="Arial" w:cs="Arial"/>
          <w:sz w:val="22"/>
        </w:rPr>
        <w:t>VCS.SC.L</w:t>
      </w:r>
      <w:proofErr w:type="spellEnd"/>
      <w:r w:rsidR="00C76005" w:rsidRPr="00EA2CF0">
        <w:rPr>
          <w:rFonts w:ascii="Arial" w:hAnsi="Arial" w:cs="Arial"/>
          <w:sz w:val="22"/>
        </w:rPr>
        <w:t xml:space="preserve"> equipment classes.”</w:t>
      </w:r>
      <w:r w:rsidR="00EA2CF0">
        <w:rPr>
          <w:rFonts w:ascii="Arial" w:hAnsi="Arial" w:cs="Arial"/>
          <w:sz w:val="22"/>
        </w:rPr>
        <w:t xml:space="preserve"> </w:t>
      </w:r>
      <w:r w:rsidR="00C76005" w:rsidRPr="00EA2CF0">
        <w:rPr>
          <w:rFonts w:ascii="Arial" w:hAnsi="Arial" w:cs="Arial"/>
          <w:sz w:val="22"/>
        </w:rPr>
        <w:t>(p. 36.)</w:t>
      </w:r>
      <w:r w:rsidR="00EA2CF0">
        <w:rPr>
          <w:rFonts w:ascii="Arial" w:hAnsi="Arial" w:cs="Arial"/>
          <w:sz w:val="22"/>
        </w:rPr>
        <w:t xml:space="preserve"> </w:t>
      </w:r>
      <w:r w:rsidR="00B64B10" w:rsidRPr="00EA2CF0">
        <w:rPr>
          <w:rFonts w:ascii="Arial" w:hAnsi="Arial" w:cs="Arial"/>
          <w:sz w:val="22"/>
        </w:rPr>
        <w:t>Thus, “[l]</w:t>
      </w:r>
      <w:proofErr w:type="spellStart"/>
      <w:r w:rsidR="00B64B10" w:rsidRPr="00EA2CF0">
        <w:rPr>
          <w:rFonts w:ascii="Arial" w:hAnsi="Arial" w:cs="Arial"/>
          <w:sz w:val="22"/>
        </w:rPr>
        <w:t>arge</w:t>
      </w:r>
      <w:proofErr w:type="spellEnd"/>
      <w:r w:rsidR="00B64B10" w:rsidRPr="00EA2CF0">
        <w:rPr>
          <w:rFonts w:ascii="Arial" w:hAnsi="Arial" w:cs="Arial"/>
          <w:sz w:val="22"/>
        </w:rPr>
        <w:t>-capacity CRE in these classes would remain subject to the current energy conservation standards applicable to those classes for which compliance was required beginning on March 27, 2017.”</w:t>
      </w:r>
      <w:r w:rsidR="00EA2CF0">
        <w:rPr>
          <w:rFonts w:ascii="Arial" w:hAnsi="Arial" w:cs="Arial"/>
          <w:sz w:val="22"/>
        </w:rPr>
        <w:t xml:space="preserve"> </w:t>
      </w:r>
      <w:r w:rsidR="00B64B10"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w:t>
      </w:r>
      <w:r w:rsidR="00B64B10" w:rsidRPr="00EA2CF0">
        <w:rPr>
          <w:rFonts w:ascii="Arial" w:hAnsi="Arial" w:cs="Arial"/>
          <w:sz w:val="22"/>
        </w:rPr>
        <w:t xml:space="preserve"> 36.)</w:t>
      </w:r>
    </w:p>
    <w:p w14:paraId="29D10844" w14:textId="6BD03B80" w:rsidR="00924664" w:rsidRPr="00EA2CF0" w:rsidRDefault="00924664" w:rsidP="00EA2CF0">
      <w:pPr>
        <w:pStyle w:val="ListParagraph"/>
        <w:widowControl w:val="0"/>
        <w:numPr>
          <w:ilvl w:val="0"/>
          <w:numId w:val="13"/>
        </w:numPr>
        <w:spacing w:after="240"/>
        <w:contextualSpacing w:val="0"/>
        <w:jc w:val="left"/>
        <w:rPr>
          <w:rFonts w:ascii="Arial" w:hAnsi="Arial" w:cs="Arial"/>
          <w:sz w:val="22"/>
        </w:rPr>
      </w:pPr>
      <w:r w:rsidRPr="00EA2CF0">
        <w:rPr>
          <w:rFonts w:ascii="Arial" w:hAnsi="Arial" w:cs="Arial"/>
          <w:b/>
          <w:bCs/>
          <w:sz w:val="22"/>
          <w:u w:val="single"/>
        </w:rPr>
        <w:t>No Standards for Buffet or Preparation Tables, or Blast Chillers or Freezers.</w:t>
      </w:r>
      <w:r w:rsidR="00EA2CF0">
        <w:rPr>
          <w:rFonts w:ascii="Arial" w:hAnsi="Arial" w:cs="Arial"/>
          <w:sz w:val="22"/>
        </w:rPr>
        <w:t xml:space="preserve"> </w:t>
      </w:r>
      <w:r w:rsidRPr="00EA2CF0">
        <w:rPr>
          <w:rFonts w:ascii="Arial" w:hAnsi="Arial" w:cs="Arial"/>
          <w:sz w:val="22"/>
        </w:rPr>
        <w:t>“In the October 2023 NOPR, due to a lack of data and information regarding performance and related design options of refrigerated buffet tables and preparation tables and blast chillers and blast freezers, DOE did not conduct an analysis of potential energy conservation standards for these equipment categories.”</w:t>
      </w:r>
      <w:r w:rsidR="00EA2CF0">
        <w:rPr>
          <w:rFonts w:ascii="Arial" w:hAnsi="Arial" w:cs="Arial"/>
          <w:sz w:val="22"/>
        </w:rPr>
        <w:t xml:space="preserve"> </w:t>
      </w:r>
      <w:r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 </w:t>
      </w:r>
      <w:r w:rsidRPr="00EA2CF0">
        <w:rPr>
          <w:rFonts w:ascii="Arial" w:hAnsi="Arial" w:cs="Arial"/>
          <w:sz w:val="22"/>
        </w:rPr>
        <w:t>114.)</w:t>
      </w:r>
      <w:r w:rsidR="00EA2CF0">
        <w:rPr>
          <w:rFonts w:ascii="Arial" w:hAnsi="Arial" w:cs="Arial"/>
          <w:sz w:val="22"/>
        </w:rPr>
        <w:t xml:space="preserve"> </w:t>
      </w:r>
      <w:r w:rsidRPr="00EA2CF0">
        <w:rPr>
          <w:rFonts w:ascii="Arial" w:hAnsi="Arial" w:cs="Arial"/>
          <w:sz w:val="22"/>
        </w:rPr>
        <w:t>“In this final rule, consistent with the October 2023 NOPR, DOE is not establishing energy conservation standards for buffet tables or preparation tables, blast chillers, or blast freezers.”</w:t>
      </w:r>
      <w:r w:rsidR="00EA2CF0">
        <w:rPr>
          <w:rFonts w:ascii="Arial" w:hAnsi="Arial" w:cs="Arial"/>
          <w:sz w:val="22"/>
        </w:rPr>
        <w:t xml:space="preserve"> </w:t>
      </w:r>
      <w:r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w:t>
      </w:r>
      <w:r w:rsidRPr="00EA2CF0">
        <w:rPr>
          <w:rFonts w:ascii="Arial" w:hAnsi="Arial" w:cs="Arial"/>
          <w:sz w:val="22"/>
        </w:rPr>
        <w:t xml:space="preserve"> 117.)</w:t>
      </w:r>
      <w:r w:rsidR="00EA2CF0">
        <w:rPr>
          <w:rFonts w:ascii="Arial" w:hAnsi="Arial" w:cs="Arial"/>
          <w:sz w:val="22"/>
        </w:rPr>
        <w:t xml:space="preserve"> </w:t>
      </w:r>
      <w:r w:rsidR="00C51B7C" w:rsidRPr="00EA2CF0">
        <w:rPr>
          <w:rFonts w:ascii="Arial" w:hAnsi="Arial" w:cs="Arial"/>
          <w:sz w:val="22"/>
        </w:rPr>
        <w:t>“DOE will continue to evaluate buffet tables or preparation tables, blast chillers, and blast freezers for potential future energy conservation standards rulemakings, and DOE continues to request data and information for this equipment.”</w:t>
      </w:r>
      <w:r w:rsidR="00EA2CF0">
        <w:rPr>
          <w:rFonts w:ascii="Arial" w:hAnsi="Arial" w:cs="Arial"/>
          <w:sz w:val="22"/>
        </w:rPr>
        <w:t xml:space="preserve"> </w:t>
      </w:r>
      <w:r w:rsidR="00C51B7C" w:rsidRPr="00EA2CF0">
        <w:rPr>
          <w:rFonts w:ascii="Arial" w:hAnsi="Arial" w:cs="Arial"/>
          <w:sz w:val="22"/>
        </w:rPr>
        <w:t>(</w:t>
      </w:r>
      <w:r w:rsidR="008E6D91" w:rsidRPr="00EA2CF0">
        <w:rPr>
          <w:rFonts w:ascii="Arial" w:hAnsi="Arial" w:cs="Arial"/>
          <w:i/>
          <w:iCs/>
          <w:sz w:val="22"/>
        </w:rPr>
        <w:t>Id.</w:t>
      </w:r>
      <w:r w:rsidR="008E6D91" w:rsidRPr="00EA2CF0">
        <w:rPr>
          <w:rFonts w:ascii="Arial" w:hAnsi="Arial" w:cs="Arial"/>
          <w:sz w:val="22"/>
        </w:rPr>
        <w:t xml:space="preserve"> at</w:t>
      </w:r>
      <w:r w:rsidR="00C51B7C" w:rsidRPr="00EA2CF0">
        <w:rPr>
          <w:rFonts w:ascii="Arial" w:hAnsi="Arial" w:cs="Arial"/>
          <w:sz w:val="22"/>
        </w:rPr>
        <w:t xml:space="preserve"> 118.)</w:t>
      </w:r>
    </w:p>
    <w:sectPr w:rsidR="00924664" w:rsidRPr="00EA2CF0" w:rsidSect="004D5536">
      <w:headerReference w:type="even" r:id="rId12"/>
      <w:headerReference w:type="default" r:id="rId13"/>
      <w:footerReference w:type="even" r:id="rId14"/>
      <w:footerReference w:type="default" r:id="rId15"/>
      <w:headerReference w:type="first" r:id="rId16"/>
      <w:footerReference w:type="first" r:id="rId1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9E0A" w14:textId="77777777" w:rsidR="008D3522" w:rsidRDefault="008D3522" w:rsidP="004201D3">
      <w:r>
        <w:separator/>
      </w:r>
    </w:p>
  </w:endnote>
  <w:endnote w:type="continuationSeparator" w:id="0">
    <w:p w14:paraId="38C3FE76" w14:textId="77777777" w:rsidR="008D3522" w:rsidRDefault="008D3522" w:rsidP="0042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CC70" w14:textId="77777777" w:rsidR="000D7004" w:rsidRDefault="000D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6"/>
      </w:rPr>
      <w:id w:val="-1903514780"/>
      <w:docPartObj>
        <w:docPartGallery w:val="Page Numbers (Bottom of Page)"/>
        <w:docPartUnique/>
      </w:docPartObj>
    </w:sdtPr>
    <w:sdtContent>
      <w:sdt>
        <w:sdtPr>
          <w:rPr>
            <w:rFonts w:ascii="Arial" w:hAnsi="Arial" w:cs="Arial"/>
            <w:sz w:val="18"/>
            <w:szCs w:val="16"/>
          </w:rPr>
          <w:id w:val="-1769616900"/>
          <w:docPartObj>
            <w:docPartGallery w:val="Page Numbers (Top of Page)"/>
            <w:docPartUnique/>
          </w:docPartObj>
        </w:sdtPr>
        <w:sdtContent>
          <w:p w14:paraId="091CD284" w14:textId="211148F8" w:rsidR="004D5536" w:rsidRPr="004D5536" w:rsidRDefault="004D5536">
            <w:pPr>
              <w:pStyle w:val="Footer"/>
              <w:jc w:val="right"/>
              <w:rPr>
                <w:rFonts w:ascii="Arial" w:hAnsi="Arial" w:cs="Arial"/>
                <w:sz w:val="18"/>
                <w:szCs w:val="16"/>
              </w:rPr>
            </w:pPr>
            <w:r w:rsidRPr="004D5536">
              <w:rPr>
                <w:rFonts w:ascii="Arial" w:hAnsi="Arial" w:cs="Arial"/>
                <w:sz w:val="18"/>
                <w:szCs w:val="16"/>
              </w:rPr>
              <w:t xml:space="preserve">Page </w:t>
            </w:r>
            <w:r w:rsidRPr="004D5536">
              <w:rPr>
                <w:rFonts w:ascii="Arial" w:hAnsi="Arial" w:cs="Arial"/>
                <w:b/>
                <w:bCs/>
                <w:sz w:val="18"/>
                <w:szCs w:val="18"/>
              </w:rPr>
              <w:fldChar w:fldCharType="begin"/>
            </w:r>
            <w:r w:rsidRPr="004D5536">
              <w:rPr>
                <w:rFonts w:ascii="Arial" w:hAnsi="Arial" w:cs="Arial"/>
                <w:b/>
                <w:bCs/>
                <w:sz w:val="18"/>
                <w:szCs w:val="16"/>
              </w:rPr>
              <w:instrText xml:space="preserve"> PAGE </w:instrText>
            </w:r>
            <w:r w:rsidRPr="004D5536">
              <w:rPr>
                <w:rFonts w:ascii="Arial" w:hAnsi="Arial" w:cs="Arial"/>
                <w:b/>
                <w:bCs/>
                <w:sz w:val="18"/>
                <w:szCs w:val="18"/>
              </w:rPr>
              <w:fldChar w:fldCharType="separate"/>
            </w:r>
            <w:r w:rsidRPr="004D5536">
              <w:rPr>
                <w:rFonts w:ascii="Arial" w:hAnsi="Arial" w:cs="Arial"/>
                <w:b/>
                <w:bCs/>
                <w:noProof/>
                <w:sz w:val="18"/>
                <w:szCs w:val="16"/>
              </w:rPr>
              <w:t>2</w:t>
            </w:r>
            <w:r w:rsidRPr="004D5536">
              <w:rPr>
                <w:rFonts w:ascii="Arial" w:hAnsi="Arial" w:cs="Arial"/>
                <w:b/>
                <w:bCs/>
                <w:sz w:val="18"/>
                <w:szCs w:val="18"/>
              </w:rPr>
              <w:fldChar w:fldCharType="end"/>
            </w:r>
            <w:r w:rsidRPr="004D5536">
              <w:rPr>
                <w:rFonts w:ascii="Arial" w:hAnsi="Arial" w:cs="Arial"/>
                <w:sz w:val="18"/>
                <w:szCs w:val="16"/>
              </w:rPr>
              <w:t xml:space="preserve"> of </w:t>
            </w:r>
            <w:r w:rsidRPr="004D5536">
              <w:rPr>
                <w:rFonts w:ascii="Arial" w:hAnsi="Arial" w:cs="Arial"/>
                <w:b/>
                <w:bCs/>
                <w:sz w:val="18"/>
                <w:szCs w:val="18"/>
              </w:rPr>
              <w:fldChar w:fldCharType="begin"/>
            </w:r>
            <w:r w:rsidRPr="004D5536">
              <w:rPr>
                <w:rFonts w:ascii="Arial" w:hAnsi="Arial" w:cs="Arial"/>
                <w:b/>
                <w:bCs/>
                <w:sz w:val="18"/>
                <w:szCs w:val="16"/>
              </w:rPr>
              <w:instrText xml:space="preserve"> NUMPAGES  </w:instrText>
            </w:r>
            <w:r w:rsidRPr="004D5536">
              <w:rPr>
                <w:rFonts w:ascii="Arial" w:hAnsi="Arial" w:cs="Arial"/>
                <w:b/>
                <w:bCs/>
                <w:sz w:val="18"/>
                <w:szCs w:val="18"/>
              </w:rPr>
              <w:fldChar w:fldCharType="separate"/>
            </w:r>
            <w:r w:rsidRPr="004D5536">
              <w:rPr>
                <w:rFonts w:ascii="Arial" w:hAnsi="Arial" w:cs="Arial"/>
                <w:b/>
                <w:bCs/>
                <w:noProof/>
                <w:sz w:val="18"/>
                <w:szCs w:val="16"/>
              </w:rPr>
              <w:t>2</w:t>
            </w:r>
            <w:r w:rsidRPr="004D5536">
              <w:rPr>
                <w:rFonts w:ascii="Arial" w:hAnsi="Arial" w:cs="Arial"/>
                <w:b/>
                <w:bCs/>
                <w:sz w:val="18"/>
                <w:szCs w:val="18"/>
              </w:rPr>
              <w:fldChar w:fldCharType="end"/>
            </w:r>
          </w:p>
        </w:sdtContent>
      </w:sdt>
    </w:sdtContent>
  </w:sdt>
  <w:p w14:paraId="40C24240" w14:textId="77777777" w:rsidR="000D7004" w:rsidRDefault="000D7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A065" w14:textId="77777777" w:rsidR="000D7004" w:rsidRDefault="000D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7E8FD" w14:textId="77777777" w:rsidR="008D3522" w:rsidRDefault="008D3522" w:rsidP="004201D3">
      <w:r>
        <w:separator/>
      </w:r>
    </w:p>
  </w:footnote>
  <w:footnote w:type="continuationSeparator" w:id="0">
    <w:p w14:paraId="41D3BBB9" w14:textId="77777777" w:rsidR="008D3522" w:rsidRDefault="008D3522" w:rsidP="0042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9A9B" w14:textId="77777777" w:rsidR="000D7004" w:rsidRDefault="000D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88B3" w14:textId="72EF4327" w:rsidR="002812B0" w:rsidRDefault="002812B0" w:rsidP="00A74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BF89" w14:textId="77777777" w:rsidR="000D7004" w:rsidRDefault="000D7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B394405"/>
    <w:multiLevelType w:val="hybridMultilevel"/>
    <w:tmpl w:val="1DA0D3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AE0301"/>
    <w:multiLevelType w:val="hybridMultilevel"/>
    <w:tmpl w:val="581A2F08"/>
    <w:lvl w:ilvl="0" w:tplc="C41A979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654773">
    <w:abstractNumId w:val="5"/>
  </w:num>
  <w:num w:numId="2" w16cid:durableId="917639280">
    <w:abstractNumId w:val="5"/>
  </w:num>
  <w:num w:numId="3" w16cid:durableId="1054352802">
    <w:abstractNumId w:val="3"/>
  </w:num>
  <w:num w:numId="4" w16cid:durableId="1836991283">
    <w:abstractNumId w:val="3"/>
  </w:num>
  <w:num w:numId="5" w16cid:durableId="245530082">
    <w:abstractNumId w:val="2"/>
  </w:num>
  <w:num w:numId="6" w16cid:durableId="1209873774">
    <w:abstractNumId w:val="2"/>
  </w:num>
  <w:num w:numId="7" w16cid:durableId="423839437">
    <w:abstractNumId w:val="4"/>
  </w:num>
  <w:num w:numId="8" w16cid:durableId="932518935">
    <w:abstractNumId w:val="4"/>
  </w:num>
  <w:num w:numId="9" w16cid:durableId="674265537">
    <w:abstractNumId w:val="1"/>
  </w:num>
  <w:num w:numId="10" w16cid:durableId="519008724">
    <w:abstractNumId w:val="1"/>
  </w:num>
  <w:num w:numId="11" w16cid:durableId="1303342353">
    <w:abstractNumId w:val="0"/>
  </w:num>
  <w:num w:numId="12" w16cid:durableId="802388733">
    <w:abstractNumId w:val="0"/>
  </w:num>
  <w:num w:numId="13" w16cid:durableId="1553467979">
    <w:abstractNumId w:val="7"/>
  </w:num>
  <w:num w:numId="14" w16cid:durableId="982581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C4"/>
    <w:rsid w:val="00031127"/>
    <w:rsid w:val="00042CEB"/>
    <w:rsid w:val="000755D9"/>
    <w:rsid w:val="000D29CB"/>
    <w:rsid w:val="000D7004"/>
    <w:rsid w:val="000E73F4"/>
    <w:rsid w:val="00187A9B"/>
    <w:rsid w:val="001E57E5"/>
    <w:rsid w:val="001E68C2"/>
    <w:rsid w:val="001F46DE"/>
    <w:rsid w:val="00202F6A"/>
    <w:rsid w:val="002812B0"/>
    <w:rsid w:val="00294A2F"/>
    <w:rsid w:val="002A2C3D"/>
    <w:rsid w:val="002F07FA"/>
    <w:rsid w:val="003134BE"/>
    <w:rsid w:val="003B622D"/>
    <w:rsid w:val="004201D3"/>
    <w:rsid w:val="004271BC"/>
    <w:rsid w:val="00432A7A"/>
    <w:rsid w:val="004B0826"/>
    <w:rsid w:val="004B4462"/>
    <w:rsid w:val="004D5536"/>
    <w:rsid w:val="004F79BE"/>
    <w:rsid w:val="00507A96"/>
    <w:rsid w:val="00520729"/>
    <w:rsid w:val="00552FD0"/>
    <w:rsid w:val="00621352"/>
    <w:rsid w:val="006242BA"/>
    <w:rsid w:val="00660868"/>
    <w:rsid w:val="006646AE"/>
    <w:rsid w:val="00693A4D"/>
    <w:rsid w:val="006C19D1"/>
    <w:rsid w:val="006F1C72"/>
    <w:rsid w:val="00726D34"/>
    <w:rsid w:val="00767B64"/>
    <w:rsid w:val="007C20C4"/>
    <w:rsid w:val="007C44B8"/>
    <w:rsid w:val="007D16E8"/>
    <w:rsid w:val="007E62D4"/>
    <w:rsid w:val="00807FC0"/>
    <w:rsid w:val="008336C2"/>
    <w:rsid w:val="008863A5"/>
    <w:rsid w:val="008A2418"/>
    <w:rsid w:val="008D3522"/>
    <w:rsid w:val="008E6D91"/>
    <w:rsid w:val="008F3004"/>
    <w:rsid w:val="008F684E"/>
    <w:rsid w:val="00924664"/>
    <w:rsid w:val="00961C9F"/>
    <w:rsid w:val="00986702"/>
    <w:rsid w:val="009A3F54"/>
    <w:rsid w:val="00A43ADD"/>
    <w:rsid w:val="00A61369"/>
    <w:rsid w:val="00A74A5A"/>
    <w:rsid w:val="00A851E8"/>
    <w:rsid w:val="00AD0F9C"/>
    <w:rsid w:val="00B64B10"/>
    <w:rsid w:val="00C51B7C"/>
    <w:rsid w:val="00C76005"/>
    <w:rsid w:val="00CE1A5D"/>
    <w:rsid w:val="00CF31AF"/>
    <w:rsid w:val="00D350BF"/>
    <w:rsid w:val="00D67C84"/>
    <w:rsid w:val="00DF1958"/>
    <w:rsid w:val="00E044FD"/>
    <w:rsid w:val="00E06E3F"/>
    <w:rsid w:val="00E22970"/>
    <w:rsid w:val="00E45711"/>
    <w:rsid w:val="00E45B7C"/>
    <w:rsid w:val="00EA2CF0"/>
    <w:rsid w:val="00EB216B"/>
    <w:rsid w:val="00EE217E"/>
    <w:rsid w:val="00F24519"/>
    <w:rsid w:val="00F24BAA"/>
    <w:rsid w:val="00F3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29FA"/>
  <w15:chartTrackingRefBased/>
  <w15:docId w15:val="{2BCA2481-43C5-4DD0-B2B1-E76EDB1E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29"/>
    <w:rPr>
      <w:rFonts w:ascii="Times New Roman" w:hAnsi="Times New Roman"/>
      <w:sz w:val="24"/>
    </w:rPr>
  </w:style>
  <w:style w:type="paragraph" w:styleId="Heading1">
    <w:name w:val="heading 1"/>
    <w:basedOn w:val="Normal"/>
    <w:next w:val="Normal"/>
    <w:link w:val="Heading1Char"/>
    <w:uiPriority w:val="9"/>
    <w:qFormat/>
    <w:rsid w:val="00520729"/>
    <w:pPr>
      <w:spacing w:before="480"/>
      <w:contextualSpacing/>
      <w:outlineLvl w:val="0"/>
    </w:pPr>
    <w:rPr>
      <w:rFonts w:eastAsiaTheme="majorEastAsia" w:cstheme="majorBidi"/>
      <w:b/>
      <w:bCs/>
      <w:szCs w:val="28"/>
    </w:rPr>
  </w:style>
  <w:style w:type="paragraph" w:styleId="Heading2">
    <w:name w:val="heading 2"/>
    <w:basedOn w:val="Normal"/>
    <w:next w:val="Normal"/>
    <w:link w:val="Heading2Char"/>
    <w:uiPriority w:val="9"/>
    <w:qFormat/>
    <w:rsid w:val="00520729"/>
    <w:pPr>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520729"/>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rsid w:val="00520729"/>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187A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87A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A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A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ind w:left="1440" w:right="1440"/>
    </w:pPr>
    <w:rPr>
      <w:rFonts w:eastAsiaTheme="minorEastAsia"/>
      <w:iCs/>
    </w:rPr>
  </w:style>
  <w:style w:type="paragraph" w:styleId="BodyText">
    <w:name w:val="Body Text"/>
    <w:basedOn w:val="Normal"/>
    <w:link w:val="BodyTextChar"/>
    <w:uiPriority w:val="1"/>
    <w:qFormat/>
    <w:rsid w:val="00187A9B"/>
    <w:pPr>
      <w:spacing w:after="240"/>
    </w:p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line="480" w:lineRule="auto"/>
    </w:p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line="360" w:lineRule="auto"/>
    </w:pPr>
    <w:rPr>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ind w:left="720" w:right="720"/>
    </w:p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line="480" w:lineRule="auto"/>
      <w:ind w:left="720" w:right="720"/>
    </w:p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ind w:left="360"/>
    </w:pPr>
    <w:rPr>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contextualSpacing/>
    </w:pPr>
  </w:style>
  <w:style w:type="paragraph" w:styleId="ListBullet2">
    <w:name w:val="List Bullet 2"/>
    <w:basedOn w:val="Normal"/>
    <w:uiPriority w:val="99"/>
    <w:rsid w:val="00187A9B"/>
    <w:pPr>
      <w:numPr>
        <w:numId w:val="4"/>
      </w:numPr>
      <w:contextualSpacing/>
    </w:pPr>
  </w:style>
  <w:style w:type="paragraph" w:styleId="ListBullet3">
    <w:name w:val="List Bullet 3"/>
    <w:basedOn w:val="Normal"/>
    <w:uiPriority w:val="99"/>
    <w:rsid w:val="00187A9B"/>
    <w:pPr>
      <w:numPr>
        <w:numId w:val="6"/>
      </w:numPr>
      <w:contextualSpacing/>
    </w:pPr>
  </w:style>
  <w:style w:type="paragraph" w:styleId="ListNumber">
    <w:name w:val="List Number"/>
    <w:basedOn w:val="Normal"/>
    <w:uiPriority w:val="99"/>
    <w:qFormat/>
    <w:rsid w:val="00187A9B"/>
    <w:pPr>
      <w:numPr>
        <w:numId w:val="8"/>
      </w:numPr>
      <w:contextualSpacing/>
    </w:pPr>
  </w:style>
  <w:style w:type="paragraph" w:styleId="ListNumber2">
    <w:name w:val="List Number 2"/>
    <w:basedOn w:val="Normal"/>
    <w:uiPriority w:val="99"/>
    <w:rsid w:val="00187A9B"/>
    <w:pPr>
      <w:numPr>
        <w:numId w:val="10"/>
      </w:numPr>
      <w:contextualSpacing/>
    </w:pPr>
  </w:style>
  <w:style w:type="paragraph" w:styleId="ListNumber3">
    <w:name w:val="List Number 3"/>
    <w:basedOn w:val="Normal"/>
    <w:uiPriority w:val="99"/>
    <w:rsid w:val="00187A9B"/>
    <w:pPr>
      <w:numPr>
        <w:numId w:val="12"/>
      </w:numPr>
      <w:contextualSpacing/>
    </w:pPr>
  </w:style>
  <w:style w:type="paragraph" w:styleId="ListParagraph">
    <w:name w:val="List Paragraph"/>
    <w:basedOn w:val="Normal"/>
    <w:uiPriority w:val="34"/>
    <w:unhideWhenUsed/>
    <w:qFormat/>
    <w:rsid w:val="00187A9B"/>
    <w:pPr>
      <w:ind w:left="720"/>
      <w:contextualSpacing/>
    </w:pPr>
  </w:style>
  <w:style w:type="paragraph" w:styleId="NoSpacing">
    <w:name w:val="No Spacing"/>
    <w:basedOn w:val="Normal"/>
    <w:qFormat/>
    <w:rsid w:val="00187A9B"/>
  </w:style>
  <w:style w:type="paragraph" w:styleId="Quote">
    <w:name w:val="Quote"/>
    <w:basedOn w:val="Normal"/>
    <w:next w:val="Normal"/>
    <w:link w:val="QuoteChar"/>
    <w:uiPriority w:val="29"/>
    <w:unhideWhenUsed/>
    <w:rsid w:val="00187A9B"/>
    <w:pPr>
      <w:spacing w:before="200"/>
      <w:ind w:left="360" w:right="360"/>
    </w:pPr>
    <w:rPr>
      <w:i/>
      <w:iCs/>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ind w:left="4320"/>
    </w:p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outlineLvl w:val="0"/>
    </w:pPr>
    <w:rPr>
      <w:rFonts w:eastAsiaTheme="majorEastAsia" w:cstheme="majorBidi"/>
      <w:b/>
      <w:caps/>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 w:type="paragraph" w:styleId="Header">
    <w:name w:val="header"/>
    <w:basedOn w:val="Normal"/>
    <w:link w:val="HeaderChar"/>
    <w:uiPriority w:val="99"/>
    <w:unhideWhenUsed/>
    <w:rsid w:val="004201D3"/>
    <w:pPr>
      <w:tabs>
        <w:tab w:val="center" w:pos="4680"/>
        <w:tab w:val="right" w:pos="9360"/>
      </w:tabs>
    </w:pPr>
  </w:style>
  <w:style w:type="character" w:customStyle="1" w:styleId="HeaderChar">
    <w:name w:val="Header Char"/>
    <w:basedOn w:val="DefaultParagraphFont"/>
    <w:link w:val="Header"/>
    <w:uiPriority w:val="99"/>
    <w:rsid w:val="004201D3"/>
    <w:rPr>
      <w:rFonts w:ascii="Times New Roman" w:hAnsi="Times New Roman"/>
      <w:sz w:val="24"/>
    </w:rPr>
  </w:style>
  <w:style w:type="paragraph" w:styleId="Footer">
    <w:name w:val="footer"/>
    <w:basedOn w:val="Normal"/>
    <w:link w:val="FooterChar"/>
    <w:uiPriority w:val="99"/>
    <w:unhideWhenUsed/>
    <w:rsid w:val="004201D3"/>
    <w:pPr>
      <w:tabs>
        <w:tab w:val="center" w:pos="4680"/>
        <w:tab w:val="right" w:pos="9360"/>
      </w:tabs>
    </w:pPr>
  </w:style>
  <w:style w:type="character" w:customStyle="1" w:styleId="FooterChar">
    <w:name w:val="Footer Char"/>
    <w:basedOn w:val="DefaultParagraphFont"/>
    <w:link w:val="Footer"/>
    <w:uiPriority w:val="99"/>
    <w:rsid w:val="004201D3"/>
    <w:rPr>
      <w:rFonts w:ascii="Times New Roman" w:hAnsi="Times New Roman"/>
      <w:sz w:val="24"/>
    </w:rPr>
  </w:style>
  <w:style w:type="character" w:styleId="Hyperlink">
    <w:name w:val="Hyperlink"/>
    <w:basedOn w:val="DefaultParagraphFont"/>
    <w:uiPriority w:val="99"/>
    <w:unhideWhenUsed/>
    <w:rsid w:val="004201D3"/>
    <w:rPr>
      <w:color w:val="0563C1" w:themeColor="hyperlink"/>
      <w:u w:val="single"/>
    </w:rPr>
  </w:style>
  <w:style w:type="character" w:styleId="UnresolvedMention">
    <w:name w:val="Unresolved Mention"/>
    <w:basedOn w:val="DefaultParagraphFont"/>
    <w:uiPriority w:val="99"/>
    <w:semiHidden/>
    <w:unhideWhenUsed/>
    <w:rsid w:val="004201D3"/>
    <w:rPr>
      <w:color w:val="605E5C"/>
      <w:shd w:val="clear" w:color="auto" w:fill="E1DFDD"/>
    </w:rPr>
  </w:style>
  <w:style w:type="character" w:styleId="CommentReference">
    <w:name w:val="annotation reference"/>
    <w:basedOn w:val="DefaultParagraphFont"/>
    <w:uiPriority w:val="99"/>
    <w:semiHidden/>
    <w:unhideWhenUsed/>
    <w:rsid w:val="00EA2CF0"/>
    <w:rPr>
      <w:sz w:val="16"/>
      <w:szCs w:val="16"/>
    </w:rPr>
  </w:style>
  <w:style w:type="paragraph" w:styleId="CommentText">
    <w:name w:val="annotation text"/>
    <w:basedOn w:val="Normal"/>
    <w:link w:val="CommentTextChar"/>
    <w:uiPriority w:val="99"/>
    <w:unhideWhenUsed/>
    <w:rsid w:val="00EA2CF0"/>
    <w:rPr>
      <w:sz w:val="20"/>
      <w:szCs w:val="20"/>
    </w:rPr>
  </w:style>
  <w:style w:type="character" w:customStyle="1" w:styleId="CommentTextChar">
    <w:name w:val="Comment Text Char"/>
    <w:basedOn w:val="DefaultParagraphFont"/>
    <w:link w:val="CommentText"/>
    <w:uiPriority w:val="99"/>
    <w:rsid w:val="00EA2C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2CF0"/>
    <w:rPr>
      <w:b/>
      <w:bCs/>
    </w:rPr>
  </w:style>
  <w:style w:type="character" w:customStyle="1" w:styleId="CommentSubjectChar">
    <w:name w:val="Comment Subject Char"/>
    <w:basedOn w:val="CommentTextChar"/>
    <w:link w:val="CommentSubject"/>
    <w:uiPriority w:val="99"/>
    <w:semiHidden/>
    <w:rsid w:val="00EA2CF0"/>
    <w:rPr>
      <w:rFonts w:ascii="Times New Roman" w:hAnsi="Times New Roman"/>
      <w:b/>
      <w:bCs/>
      <w:sz w:val="20"/>
      <w:szCs w:val="20"/>
    </w:rPr>
  </w:style>
  <w:style w:type="paragraph" w:styleId="Revision">
    <w:name w:val="Revision"/>
    <w:hidden/>
    <w:uiPriority w:val="99"/>
    <w:semiHidden/>
    <w:rsid w:val="00EA2CF0"/>
    <w:pPr>
      <w:spacing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5375">
      <w:bodyDiv w:val="1"/>
      <w:marLeft w:val="0"/>
      <w:marRight w:val="0"/>
      <w:marTop w:val="0"/>
      <w:marBottom w:val="0"/>
      <w:divBdr>
        <w:top w:val="none" w:sz="0" w:space="0" w:color="auto"/>
        <w:left w:val="none" w:sz="0" w:space="0" w:color="auto"/>
        <w:bottom w:val="none" w:sz="0" w:space="0" w:color="auto"/>
        <w:right w:val="none" w:sz="0" w:space="0" w:color="auto"/>
      </w:divBdr>
    </w:div>
    <w:div w:id="11284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comment/EERE-2017-BT-STD-0007-01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gulations.gov/comment/EERE-2017-BT-STD-0007-00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ocuments/2025/01/21/2024-31214/energy-conservation-program-energy-conservation-standards-for-commercial-refrigerators-freezers-a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DMS!45716798.5</documentid>
  <senderid>ABANDZA</senderid>
  <senderemail>ABANDZA@BTLAW.COM</senderemail>
  <lastmodified>2025-01-06T11:10:00.0000000-06:00</lastmodified>
  <database>DMS</database>
</properties>
</file>

<file path=customXml/itemProps1.xml><?xml version="1.0" encoding="utf-8"?>
<ds:datastoreItem xmlns:ds="http://schemas.openxmlformats.org/officeDocument/2006/customXml" ds:itemID="{42516A37-C2CA-4B1C-A3E9-99FBC207C1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Barnes &amp; Thornburg LLP</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Bandza, Alexander</dc:creator>
  <cp:keywords/>
  <dc:description/>
  <cp:lastModifiedBy>Adaire Putnam</cp:lastModifiedBy>
  <cp:revision>2</cp:revision>
  <dcterms:created xsi:type="dcterms:W3CDTF">2025-01-21T21:14:00Z</dcterms:created>
  <dcterms:modified xsi:type="dcterms:W3CDTF">2025-01-21T21:14:00Z</dcterms:modified>
</cp:coreProperties>
</file>